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38D6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bCs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b/>
          <w:bCs/>
          <w:iCs/>
          <w:color w:val="333333"/>
          <w:sz w:val="22"/>
          <w:szCs w:val="22"/>
        </w:rPr>
        <w:t>PÁLYÁZATI DOKUMENTÁCIÓ</w:t>
      </w:r>
    </w:p>
    <w:p w14:paraId="30AA3053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rPr>
          <w:rFonts w:ascii="Tahoma" w:hAnsi="Tahoma" w:cs="Tahoma"/>
          <w:iCs/>
          <w:color w:val="333333"/>
          <w:sz w:val="22"/>
          <w:szCs w:val="22"/>
        </w:rPr>
      </w:pPr>
    </w:p>
    <w:p w14:paraId="0C0CBE0A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iCs/>
          <w:color w:val="333333"/>
          <w:sz w:val="22"/>
          <w:szCs w:val="22"/>
        </w:rPr>
        <w:t xml:space="preserve">Bábolna Város Önkormányzata (2943 Bábolna, Jókai M. u. 12.) </w:t>
      </w:r>
      <w:r w:rsidRPr="009337E9">
        <w:rPr>
          <w:rFonts w:ascii="Tahoma" w:hAnsi="Tahoma" w:cs="Tahoma"/>
          <w:iCs/>
          <w:color w:val="333333"/>
          <w:sz w:val="22"/>
          <w:szCs w:val="22"/>
        </w:rPr>
        <w:t xml:space="preserve">a bábolnai </w:t>
      </w:r>
      <w:r w:rsidR="00A75D64">
        <w:rPr>
          <w:rFonts w:ascii="Tahoma" w:hAnsi="Tahoma" w:cs="Tahoma"/>
          <w:iCs/>
          <w:color w:val="333333"/>
          <w:sz w:val="22"/>
          <w:szCs w:val="22"/>
        </w:rPr>
        <w:t>Zrínyi Miklós u. 15. szám alatti 148</w:t>
      </w:r>
      <w:r w:rsidRPr="009337E9">
        <w:rPr>
          <w:rFonts w:ascii="Tahoma" w:hAnsi="Tahoma" w:cs="Tahoma"/>
          <w:iCs/>
          <w:color w:val="333333"/>
          <w:sz w:val="22"/>
          <w:szCs w:val="22"/>
        </w:rPr>
        <w:t xml:space="preserve"> hrsz-ú, </w:t>
      </w:r>
      <w:r w:rsidR="00A75D64">
        <w:rPr>
          <w:rFonts w:ascii="Tahoma" w:hAnsi="Tahoma" w:cs="Tahoma"/>
          <w:iCs/>
          <w:color w:val="333333"/>
          <w:sz w:val="22"/>
          <w:szCs w:val="22"/>
        </w:rPr>
        <w:t>1221</w:t>
      </w:r>
      <w:r w:rsidRPr="009337E9">
        <w:rPr>
          <w:rFonts w:ascii="Tahoma" w:hAnsi="Tahoma" w:cs="Tahoma"/>
          <w:iCs/>
          <w:color w:val="333333"/>
          <w:sz w:val="22"/>
          <w:szCs w:val="22"/>
        </w:rPr>
        <w:t xml:space="preserve"> m2 területű, kivett </w:t>
      </w:r>
      <w:r w:rsidR="00A75D64">
        <w:rPr>
          <w:rFonts w:ascii="Tahoma" w:hAnsi="Tahoma" w:cs="Tahoma"/>
          <w:iCs/>
          <w:color w:val="333333"/>
          <w:sz w:val="22"/>
          <w:szCs w:val="22"/>
        </w:rPr>
        <w:t>lakóház, udvar, gazdasági épület</w:t>
      </w:r>
      <w:r w:rsidRPr="009337E9">
        <w:rPr>
          <w:rFonts w:ascii="Tahoma" w:hAnsi="Tahoma" w:cs="Tahoma"/>
          <w:iCs/>
          <w:color w:val="333333"/>
          <w:sz w:val="22"/>
          <w:szCs w:val="22"/>
        </w:rPr>
        <w:t xml:space="preserve"> megnevezésű ingatlant egyfordulós pályázat keretében kívánja értékesíteni</w:t>
      </w:r>
      <w:r w:rsidRPr="00810A04">
        <w:rPr>
          <w:rFonts w:ascii="Tahoma" w:hAnsi="Tahoma" w:cs="Tahoma"/>
          <w:iCs/>
          <w:color w:val="333333"/>
          <w:sz w:val="22"/>
          <w:szCs w:val="22"/>
        </w:rPr>
        <w:t>.</w:t>
      </w:r>
    </w:p>
    <w:p w14:paraId="5FE34FF6" w14:textId="77777777" w:rsidR="00E3552A" w:rsidRDefault="00E3552A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</w:p>
    <w:p w14:paraId="2E7F7167" w14:textId="77777777" w:rsidR="00D77754" w:rsidRDefault="00D77754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>
        <w:rPr>
          <w:rFonts w:ascii="Tahoma" w:hAnsi="Tahoma" w:cs="Tahoma"/>
          <w:iCs/>
          <w:color w:val="333333"/>
          <w:sz w:val="22"/>
          <w:szCs w:val="22"/>
        </w:rPr>
        <w:t>Ingatlan ismertetése:</w:t>
      </w:r>
    </w:p>
    <w:p w14:paraId="6A2E3882" w14:textId="77777777" w:rsidR="00D77754" w:rsidRPr="00810A04" w:rsidRDefault="00D77754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</w:p>
    <w:p w14:paraId="0A3AC6FF" w14:textId="77777777" w:rsidR="00E3552A" w:rsidRDefault="00A75D64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>
        <w:rPr>
          <w:rFonts w:ascii="Tahoma" w:hAnsi="Tahoma" w:cs="Tahoma"/>
          <w:iCs/>
          <w:color w:val="333333"/>
          <w:sz w:val="22"/>
          <w:szCs w:val="22"/>
        </w:rPr>
        <w:t>Az ingatlan az Lke2 övezetben található, a</w:t>
      </w:r>
      <w:r w:rsidR="00E3552A" w:rsidRPr="00810A04">
        <w:rPr>
          <w:rFonts w:ascii="Tahoma" w:hAnsi="Tahoma" w:cs="Tahoma"/>
          <w:iCs/>
          <w:color w:val="333333"/>
          <w:sz w:val="22"/>
          <w:szCs w:val="22"/>
        </w:rPr>
        <w:t xml:space="preserve">z övezeti leírások elérhetők: </w:t>
      </w:r>
      <w:hyperlink r:id="rId5" w:history="1">
        <w:r w:rsidR="00D77754" w:rsidRPr="00F362F4">
          <w:rPr>
            <w:rStyle w:val="Hiperhivatkozs"/>
            <w:rFonts w:ascii="Tahoma" w:hAnsi="Tahoma" w:cs="Tahoma"/>
            <w:iCs/>
            <w:sz w:val="22"/>
            <w:szCs w:val="22"/>
          </w:rPr>
          <w:t>https://or.njt.hu/eli/v01/729677/r/2013/32</w:t>
        </w:r>
      </w:hyperlink>
    </w:p>
    <w:p w14:paraId="0BF0CA1B" w14:textId="77777777" w:rsidR="00D77754" w:rsidRDefault="00D77754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</w:p>
    <w:p w14:paraId="2F861A64" w14:textId="5BCB76B5" w:rsidR="00D77754" w:rsidRDefault="00D77754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>
        <w:rPr>
          <w:rFonts w:ascii="Tahoma" w:hAnsi="Tahoma" w:cs="Tahoma"/>
          <w:iCs/>
          <w:color w:val="333333"/>
          <w:sz w:val="22"/>
          <w:szCs w:val="22"/>
        </w:rPr>
        <w:t xml:space="preserve">Lakóház: 1975-ben épült, földszint + emelet összesen 128,45 m2, tégla falazat, műszaki állapota jó (hőszigetelt </w:t>
      </w:r>
      <w:proofErr w:type="spellStart"/>
      <w:r>
        <w:rPr>
          <w:rFonts w:ascii="Tahoma" w:hAnsi="Tahoma" w:cs="Tahoma"/>
          <w:iCs/>
          <w:color w:val="333333"/>
          <w:sz w:val="22"/>
          <w:szCs w:val="22"/>
        </w:rPr>
        <w:t>üvegezésű</w:t>
      </w:r>
      <w:proofErr w:type="spellEnd"/>
      <w:r>
        <w:rPr>
          <w:rFonts w:ascii="Tahoma" w:hAnsi="Tahoma" w:cs="Tahoma"/>
          <w:iCs/>
          <w:color w:val="333333"/>
          <w:sz w:val="22"/>
          <w:szCs w:val="22"/>
        </w:rPr>
        <w:t xml:space="preserve"> műanyag ablakok, 10 cm külső szigetelés, gáz központi fűtés, villanybojleres melegvíz előállítás</w:t>
      </w:r>
      <w:r w:rsidR="0081499C">
        <w:rPr>
          <w:rFonts w:ascii="Tahoma" w:hAnsi="Tahoma" w:cs="Tahoma"/>
          <w:iCs/>
          <w:color w:val="333333"/>
          <w:sz w:val="22"/>
          <w:szCs w:val="22"/>
        </w:rPr>
        <w:t>. Az ingatlan két lakás kialakítására is alkalmas.</w:t>
      </w:r>
    </w:p>
    <w:p w14:paraId="46AF4B17" w14:textId="77777777" w:rsidR="00D77754" w:rsidRDefault="00D77754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</w:p>
    <w:p w14:paraId="4DE08640" w14:textId="77777777" w:rsidR="00D77754" w:rsidRDefault="00D77754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>
        <w:rPr>
          <w:rFonts w:ascii="Tahoma" w:hAnsi="Tahoma" w:cs="Tahoma"/>
          <w:iCs/>
          <w:color w:val="333333"/>
          <w:sz w:val="22"/>
          <w:szCs w:val="22"/>
        </w:rPr>
        <w:t>Melléképület: 26 m2, jelenleg iroda és kazánház funkciójú helyiségekkel</w:t>
      </w:r>
    </w:p>
    <w:p w14:paraId="398B175F" w14:textId="77777777" w:rsidR="00D77754" w:rsidRDefault="00D77754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</w:p>
    <w:p w14:paraId="280C745A" w14:textId="77777777" w:rsidR="00D77754" w:rsidRDefault="00D77754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>
        <w:rPr>
          <w:rFonts w:ascii="Tahoma" w:hAnsi="Tahoma" w:cs="Tahoma"/>
          <w:iCs/>
          <w:color w:val="333333"/>
          <w:sz w:val="22"/>
          <w:szCs w:val="22"/>
        </w:rPr>
        <w:t>Garázs: 22 m2</w:t>
      </w:r>
    </w:p>
    <w:p w14:paraId="00D85633" w14:textId="77777777" w:rsidR="00D77754" w:rsidRPr="00810A04" w:rsidRDefault="00D77754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>
        <w:rPr>
          <w:rFonts w:ascii="Tahoma" w:hAnsi="Tahoma" w:cs="Tahoma"/>
          <w:iCs/>
          <w:color w:val="333333"/>
          <w:sz w:val="22"/>
          <w:szCs w:val="22"/>
        </w:rPr>
        <w:tab/>
      </w:r>
    </w:p>
    <w:p w14:paraId="066F8A2B" w14:textId="77777777" w:rsidR="00D77754" w:rsidRPr="00810A04" w:rsidRDefault="00D77754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</w:p>
    <w:p w14:paraId="00144A79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rPr>
          <w:rFonts w:ascii="Tahoma" w:hAnsi="Tahoma" w:cs="Tahoma"/>
          <w:b/>
          <w:iCs/>
          <w:color w:val="333333"/>
          <w:sz w:val="22"/>
          <w:szCs w:val="22"/>
        </w:rPr>
      </w:pPr>
      <w:r w:rsidRPr="00111301">
        <w:rPr>
          <w:rFonts w:ascii="Tahoma" w:hAnsi="Tahoma" w:cs="Tahoma"/>
          <w:b/>
          <w:iCs/>
          <w:color w:val="333333"/>
          <w:sz w:val="22"/>
          <w:szCs w:val="22"/>
        </w:rPr>
        <w:t xml:space="preserve">A legkisebb megajánlható ár: </w:t>
      </w:r>
      <w:r w:rsidR="00111301" w:rsidRPr="00111301">
        <w:rPr>
          <w:rFonts w:ascii="Tahoma" w:hAnsi="Tahoma" w:cs="Tahoma"/>
          <w:b/>
          <w:iCs/>
          <w:color w:val="333333"/>
          <w:sz w:val="22"/>
          <w:szCs w:val="22"/>
        </w:rPr>
        <w:t>bruttó 65</w:t>
      </w:r>
      <w:r w:rsidR="00D77754" w:rsidRPr="00111301">
        <w:rPr>
          <w:rFonts w:ascii="Tahoma" w:hAnsi="Tahoma" w:cs="Tahoma"/>
          <w:b/>
          <w:iCs/>
          <w:color w:val="333333"/>
          <w:sz w:val="22"/>
          <w:szCs w:val="22"/>
        </w:rPr>
        <w:t>.000.000,- Ft</w:t>
      </w:r>
    </w:p>
    <w:p w14:paraId="2579C16F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rPr>
          <w:rFonts w:ascii="Tahoma" w:hAnsi="Tahoma" w:cs="Tahoma"/>
          <w:b/>
          <w:bCs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b/>
          <w:bCs/>
          <w:iCs/>
          <w:color w:val="333333"/>
          <w:sz w:val="22"/>
          <w:szCs w:val="22"/>
        </w:rPr>
        <w:t>Pályázók köre: átlátható gazdálkodó szervezet vagy magánszemély lehet</w:t>
      </w:r>
    </w:p>
    <w:p w14:paraId="4AFE7FBD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Style w:val="Kiemels2"/>
          <w:rFonts w:ascii="Tahoma" w:hAnsi="Tahoma" w:cs="Tahoma"/>
          <w:sz w:val="22"/>
          <w:szCs w:val="22"/>
        </w:rPr>
      </w:pPr>
      <w:r w:rsidRPr="00810A04">
        <w:rPr>
          <w:rFonts w:ascii="Tahoma" w:hAnsi="Tahoma" w:cs="Tahoma"/>
          <w:iCs/>
          <w:color w:val="333333"/>
          <w:sz w:val="22"/>
          <w:szCs w:val="22"/>
        </w:rPr>
        <w:t>Az ajánlatnak tartalmaznia kell az </w:t>
      </w:r>
      <w:r w:rsidRPr="00810A04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ajánlattevő</w:t>
      </w:r>
      <w:r w:rsidRPr="00810A04">
        <w:rPr>
          <w:rFonts w:ascii="Tahoma" w:hAnsi="Tahoma" w:cs="Tahoma"/>
          <w:iCs/>
          <w:color w:val="333333"/>
          <w:sz w:val="22"/>
          <w:szCs w:val="22"/>
        </w:rPr>
        <w:t> </w:t>
      </w:r>
      <w:r w:rsidRPr="00810A04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adatait, a megajánlott vételárat négyzetméterben, a fizetési feltételeket és az ajánlattevő alábbi nyilatkozatait:</w:t>
      </w:r>
    </w:p>
    <w:p w14:paraId="20776575" w14:textId="77777777" w:rsidR="00E3552A" w:rsidRPr="00810A04" w:rsidRDefault="00E3552A" w:rsidP="00E3552A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sz w:val="22"/>
          <w:szCs w:val="22"/>
        </w:rPr>
      </w:pPr>
      <w:r w:rsidRPr="00810A04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-nyilatkozat, hogy a pályázati felhívásban foglalt feltételeket elfogadja,</w:t>
      </w:r>
    </w:p>
    <w:p w14:paraId="1F7BED48" w14:textId="77777777" w:rsidR="00E3552A" w:rsidRPr="00810A04" w:rsidRDefault="00E3552A" w:rsidP="00E3552A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Style w:val="Kiemels2"/>
          <w:rFonts w:ascii="Tahoma" w:hAnsi="Tahoma" w:cs="Tahoma"/>
          <w:b w:val="0"/>
          <w:sz w:val="22"/>
          <w:szCs w:val="22"/>
        </w:rPr>
      </w:pPr>
      <w:r w:rsidRPr="00810A04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-átláthatósági nyilatkozat, (magánszemély esetén nem kell),</w:t>
      </w:r>
    </w:p>
    <w:p w14:paraId="704AAA56" w14:textId="77777777" w:rsidR="00E3552A" w:rsidRPr="00810A04" w:rsidRDefault="00E3552A" w:rsidP="00E3552A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sz w:val="22"/>
          <w:szCs w:val="22"/>
        </w:rPr>
      </w:pPr>
      <w:r w:rsidRPr="00810A04">
        <w:rPr>
          <w:rFonts w:ascii="Tahoma" w:hAnsi="Tahoma" w:cs="Tahoma"/>
          <w:b/>
          <w:iCs/>
          <w:color w:val="333333"/>
          <w:sz w:val="22"/>
          <w:szCs w:val="22"/>
        </w:rPr>
        <w:t>adó nullás igazolás,</w:t>
      </w:r>
    </w:p>
    <w:p w14:paraId="7B759482" w14:textId="77777777" w:rsidR="00E3552A" w:rsidRPr="00810A04" w:rsidRDefault="00E3552A" w:rsidP="00E3552A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sz w:val="22"/>
          <w:szCs w:val="22"/>
        </w:rPr>
      </w:pPr>
      <w:r w:rsidRPr="00810A04">
        <w:rPr>
          <w:rFonts w:ascii="Tahoma" w:hAnsi="Tahoma" w:cs="Tahoma"/>
          <w:b/>
          <w:iCs/>
          <w:color w:val="333333"/>
          <w:sz w:val="22"/>
          <w:szCs w:val="22"/>
        </w:rPr>
        <w:t>területre vonatkozó hasznosítási elképzelések.</w:t>
      </w:r>
    </w:p>
    <w:p w14:paraId="68CF3563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iCs/>
          <w:color w:val="333333"/>
          <w:sz w:val="22"/>
          <w:szCs w:val="22"/>
        </w:rPr>
        <w:t>Az ajánlattevő a benyújtott ajánlatához a benyújtástól számított </w:t>
      </w:r>
      <w:r w:rsidRPr="00810A04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60 napig</w:t>
      </w:r>
      <w:r w:rsidRPr="00810A04">
        <w:rPr>
          <w:rFonts w:ascii="Tahoma" w:hAnsi="Tahoma" w:cs="Tahoma"/>
          <w:iCs/>
          <w:color w:val="333333"/>
          <w:sz w:val="22"/>
          <w:szCs w:val="22"/>
        </w:rPr>
        <w:t> kötve van (ajánlati kötöttség).</w:t>
      </w:r>
    </w:p>
    <w:p w14:paraId="70400209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bCs/>
          <w:iCs/>
          <w:color w:val="333333"/>
          <w:sz w:val="22"/>
          <w:szCs w:val="22"/>
          <w:u w:val="single"/>
        </w:rPr>
      </w:pPr>
      <w:r w:rsidRPr="00810A04">
        <w:rPr>
          <w:rFonts w:ascii="Tahoma" w:hAnsi="Tahoma" w:cs="Tahoma"/>
          <w:iCs/>
          <w:color w:val="333333"/>
          <w:sz w:val="22"/>
          <w:szCs w:val="22"/>
        </w:rPr>
        <w:t>Az ajánlattevőnek az ajánl</w:t>
      </w:r>
      <w:r w:rsidR="00111301">
        <w:rPr>
          <w:rFonts w:ascii="Tahoma" w:hAnsi="Tahoma" w:cs="Tahoma"/>
          <w:iCs/>
          <w:color w:val="333333"/>
          <w:sz w:val="22"/>
          <w:szCs w:val="22"/>
        </w:rPr>
        <w:t xml:space="preserve">atát, írásban, zárt borítékban </w:t>
      </w:r>
      <w:r w:rsidRPr="00810A04">
        <w:rPr>
          <w:rFonts w:ascii="Tahoma" w:hAnsi="Tahoma" w:cs="Tahoma"/>
          <w:iCs/>
          <w:color w:val="333333"/>
          <w:sz w:val="22"/>
          <w:szCs w:val="22"/>
        </w:rPr>
        <w:t xml:space="preserve">van lehetősége benyújtani személyesen vagy postai úton, tértivevényes feladással az alábbi címre: Bábolna Város Önkormányzata (2943 Bábolna, Jókai M. u. 12.). </w:t>
      </w:r>
      <w:r w:rsidR="00111301">
        <w:rPr>
          <w:rFonts w:ascii="Tahoma" w:hAnsi="Tahoma" w:cs="Tahoma"/>
          <w:b/>
          <w:bCs/>
          <w:iCs/>
          <w:color w:val="333333"/>
          <w:sz w:val="22"/>
          <w:szCs w:val="22"/>
          <w:u w:val="single"/>
        </w:rPr>
        <w:t>A pályázatokat folyamatosan be lehet nyújtani, azzal, hogy a Képviselő-testület az eljárást bármikor indokolás nélkül lezárhatja.</w:t>
      </w:r>
    </w:p>
    <w:p w14:paraId="629B02C3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sz w:val="22"/>
          <w:szCs w:val="22"/>
        </w:rPr>
      </w:pPr>
      <w:r w:rsidRPr="00810A04">
        <w:rPr>
          <w:rFonts w:ascii="Tahoma" w:hAnsi="Tahoma" w:cs="Tahoma"/>
          <w:iCs/>
          <w:sz w:val="22"/>
          <w:szCs w:val="22"/>
        </w:rPr>
        <w:t xml:space="preserve">A borítékon az alábbiak feltüntetése szükséges: </w:t>
      </w:r>
      <w:r w:rsidRPr="00810A04">
        <w:rPr>
          <w:rFonts w:ascii="Tahoma" w:hAnsi="Tahoma" w:cs="Tahoma"/>
          <w:b/>
          <w:bCs/>
          <w:sz w:val="22"/>
          <w:szCs w:val="22"/>
        </w:rPr>
        <w:t>PÁLYÁZAT – Ingatlanvásárlás</w:t>
      </w:r>
      <w:r w:rsidRPr="00810A04">
        <w:rPr>
          <w:rStyle w:val="Kiemels2"/>
          <w:rFonts w:ascii="Tahoma" w:hAnsi="Tahoma" w:cs="Tahoma"/>
          <w:sz w:val="22"/>
          <w:szCs w:val="22"/>
        </w:rPr>
        <w:t>!</w:t>
      </w:r>
    </w:p>
    <w:p w14:paraId="6FC5D777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iCs/>
          <w:color w:val="333333"/>
          <w:sz w:val="22"/>
          <w:szCs w:val="22"/>
        </w:rPr>
        <w:t>A pályázat kiírója a hiánypótlás lehetőségét kizárja!</w:t>
      </w:r>
    </w:p>
    <w:p w14:paraId="13E7EE43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iCs/>
          <w:color w:val="333333"/>
          <w:sz w:val="22"/>
          <w:szCs w:val="22"/>
        </w:rPr>
        <w:t>Az elbírálás szempontja: a legmagasabb ár.</w:t>
      </w:r>
    </w:p>
    <w:p w14:paraId="43AC47E5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sz w:val="22"/>
          <w:szCs w:val="22"/>
        </w:rPr>
      </w:pPr>
      <w:r w:rsidRPr="00810A04">
        <w:rPr>
          <w:rFonts w:ascii="Tahoma" w:hAnsi="Tahoma" w:cs="Tahoma"/>
          <w:iCs/>
          <w:sz w:val="22"/>
          <w:szCs w:val="22"/>
        </w:rPr>
        <w:t xml:space="preserve">A pályázaton résztvevőket levélben, vagy telefonon értesítjük a pályázat eredményéről. </w:t>
      </w:r>
    </w:p>
    <w:p w14:paraId="434F07F0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sz w:val="22"/>
          <w:szCs w:val="22"/>
        </w:rPr>
      </w:pPr>
      <w:r w:rsidRPr="00810A04">
        <w:rPr>
          <w:rFonts w:ascii="Tahoma" w:hAnsi="Tahoma" w:cs="Tahoma"/>
          <w:iCs/>
          <w:sz w:val="22"/>
          <w:szCs w:val="22"/>
        </w:rPr>
        <w:t>A pályázat kiírója fenntartja azon jogát, hogy több érvényes és egyenértékű pályázat esetén a pályázatbontást követően további tárgyalást folytasson, közöttük zártkörű licitet tartson.</w:t>
      </w:r>
    </w:p>
    <w:p w14:paraId="49F063AB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sz w:val="22"/>
          <w:szCs w:val="22"/>
        </w:rPr>
      </w:pPr>
      <w:r w:rsidRPr="00810A04">
        <w:rPr>
          <w:rFonts w:ascii="Tahoma" w:hAnsi="Tahoma" w:cs="Tahoma"/>
          <w:iCs/>
          <w:sz w:val="22"/>
          <w:szCs w:val="22"/>
        </w:rPr>
        <w:t>A pályázat kiírója fenntartja azon jogát, hogy a pályázatot indokolás nélkül eredménytelennek nyilvánítsa.</w:t>
      </w:r>
    </w:p>
    <w:p w14:paraId="262C7D07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iCs/>
          <w:color w:val="333333"/>
          <w:sz w:val="22"/>
          <w:szCs w:val="22"/>
        </w:rPr>
        <w:t>Az Önkormányzat a nyertes ajánlatban szereplő ajánlattevővel köt ingatlan adásvételi szerződést. Az ingatlan adásvételi szerződésben csak és kizárólag azon személy jelölhető meg szerződő félnek, aki a pályázatban, mint ajánlattevő megjelölésre került.</w:t>
      </w:r>
    </w:p>
    <w:p w14:paraId="13C52A38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bCs/>
          <w:iCs/>
          <w:color w:val="333333"/>
          <w:sz w:val="22"/>
          <w:szCs w:val="22"/>
        </w:rPr>
      </w:pPr>
      <w:r w:rsidRPr="00810A04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lastRenderedPageBreak/>
        <w:t>A pályázatok bontását követően az ajánlat módosítására</w:t>
      </w:r>
      <w:r w:rsidRPr="00810A04">
        <w:rPr>
          <w:rFonts w:ascii="Tahoma" w:hAnsi="Tahoma" w:cs="Tahoma"/>
          <w:b/>
          <w:bCs/>
          <w:iCs/>
          <w:color w:val="333333"/>
          <w:sz w:val="22"/>
          <w:szCs w:val="22"/>
        </w:rPr>
        <w:t> </w:t>
      </w:r>
      <w:r w:rsidRPr="00810A04">
        <w:rPr>
          <w:rFonts w:ascii="Tahoma" w:hAnsi="Tahoma" w:cs="Tahoma"/>
          <w:iCs/>
          <w:color w:val="333333"/>
          <w:sz w:val="22"/>
          <w:szCs w:val="22"/>
        </w:rPr>
        <w:t>(pl.: haszonélvezeti jog alapítása, tulajdoni arány módosítása, az ajánlatban nem szereplő más ajánlattevő (házastárs) megjelölése)</w:t>
      </w:r>
      <w:r w:rsidRPr="00810A04">
        <w:rPr>
          <w:rFonts w:ascii="Tahoma" w:hAnsi="Tahoma" w:cs="Tahoma"/>
          <w:b/>
          <w:bCs/>
          <w:iCs/>
          <w:color w:val="333333"/>
          <w:sz w:val="22"/>
          <w:szCs w:val="22"/>
        </w:rPr>
        <w:t> </w:t>
      </w:r>
      <w:r w:rsidRPr="00810A04">
        <w:rPr>
          <w:rStyle w:val="Kiemels2"/>
          <w:rFonts w:ascii="Tahoma" w:hAnsi="Tahoma" w:cs="Tahoma"/>
          <w:iCs/>
          <w:color w:val="333333"/>
          <w:sz w:val="22"/>
          <w:szCs w:val="22"/>
        </w:rPr>
        <w:t>nincs lehetőség</w:t>
      </w:r>
      <w:r w:rsidRPr="00810A04">
        <w:rPr>
          <w:rFonts w:ascii="Tahoma" w:hAnsi="Tahoma" w:cs="Tahoma"/>
          <w:b/>
          <w:bCs/>
          <w:iCs/>
          <w:color w:val="333333"/>
          <w:sz w:val="22"/>
          <w:szCs w:val="22"/>
        </w:rPr>
        <w:t>!</w:t>
      </w:r>
    </w:p>
    <w:p w14:paraId="0DF1746C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iCs/>
          <w:color w:val="333333"/>
          <w:sz w:val="22"/>
          <w:szCs w:val="22"/>
        </w:rPr>
        <w:t>A meghirdetett ingatlanra a nemzeti vagyonról szóló 2011. évi CXCVI. törvény értelmében a</w:t>
      </w:r>
      <w:r w:rsidRPr="00810A04">
        <w:rPr>
          <w:rFonts w:ascii="Tahoma" w:hAnsi="Tahoma" w:cs="Tahoma"/>
          <w:b/>
          <w:bCs/>
          <w:iCs/>
          <w:color w:val="333333"/>
          <w:sz w:val="22"/>
          <w:szCs w:val="22"/>
        </w:rPr>
        <w:t> </w:t>
      </w:r>
      <w:r w:rsidRPr="00810A04">
        <w:rPr>
          <w:rStyle w:val="Kiemels2"/>
          <w:rFonts w:ascii="Tahoma" w:hAnsi="Tahoma" w:cs="Tahoma"/>
          <w:iCs/>
          <w:color w:val="333333"/>
          <w:sz w:val="22"/>
          <w:szCs w:val="22"/>
        </w:rPr>
        <w:t>Magyar Államot</w:t>
      </w:r>
      <w:r w:rsidRPr="00810A04">
        <w:rPr>
          <w:rFonts w:ascii="Tahoma" w:hAnsi="Tahoma" w:cs="Tahoma"/>
          <w:iCs/>
          <w:color w:val="333333"/>
          <w:sz w:val="22"/>
          <w:szCs w:val="22"/>
        </w:rPr>
        <w:t xml:space="preserve"> elővásárlási jog illeti meg.</w:t>
      </w:r>
    </w:p>
    <w:p w14:paraId="030C110E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iCs/>
          <w:color w:val="333333"/>
          <w:sz w:val="22"/>
          <w:szCs w:val="22"/>
        </w:rPr>
        <w:t>Melléklet: térkép, tulajdoni lap</w:t>
      </w:r>
    </w:p>
    <w:p w14:paraId="00F6F3F2" w14:textId="77777777" w:rsidR="00E3552A" w:rsidRDefault="00E3552A" w:rsidP="00E3552A">
      <w:pPr>
        <w:pStyle w:val="Listaszerbekezds"/>
        <w:ind w:left="0"/>
        <w:jc w:val="center"/>
        <w:rPr>
          <w:rFonts w:ascii="Tahoma" w:hAnsi="Tahoma" w:cs="Tahoma"/>
          <w:bCs/>
        </w:rPr>
      </w:pPr>
    </w:p>
    <w:p w14:paraId="1CF944B0" w14:textId="77777777" w:rsidR="00E3552A" w:rsidRDefault="00E3552A" w:rsidP="00E3552A">
      <w:pPr>
        <w:pStyle w:val="Listaszerbekezds"/>
        <w:ind w:left="0"/>
        <w:jc w:val="center"/>
        <w:rPr>
          <w:rFonts w:ascii="Tahoma" w:hAnsi="Tahoma" w:cs="Tahoma"/>
          <w:bCs/>
        </w:rPr>
      </w:pPr>
    </w:p>
    <w:p w14:paraId="21CCE023" w14:textId="77777777" w:rsidR="00E3552A" w:rsidRDefault="00E3552A" w:rsidP="00E3552A">
      <w:pPr>
        <w:rPr>
          <w:rFonts w:ascii="Tahoma" w:hAnsi="Tahoma" w:cs="Tahoma"/>
          <w:sz w:val="22"/>
          <w:szCs w:val="22"/>
        </w:rPr>
      </w:pPr>
      <w:r w:rsidRPr="000F5BF3">
        <w:rPr>
          <w:rFonts w:ascii="Tahoma" w:hAnsi="Tahoma" w:cs="Tahoma"/>
          <w:sz w:val="22"/>
          <w:szCs w:val="22"/>
        </w:rPr>
        <w:t>Bábolna, 20</w:t>
      </w:r>
      <w:r>
        <w:rPr>
          <w:rFonts w:ascii="Tahoma" w:hAnsi="Tahoma" w:cs="Tahoma"/>
          <w:sz w:val="22"/>
          <w:szCs w:val="22"/>
        </w:rPr>
        <w:t>2</w:t>
      </w:r>
      <w:r w:rsidR="00A75D64">
        <w:rPr>
          <w:rFonts w:ascii="Tahoma" w:hAnsi="Tahoma" w:cs="Tahoma"/>
          <w:sz w:val="22"/>
          <w:szCs w:val="22"/>
        </w:rPr>
        <w:t>3 február 20.</w:t>
      </w:r>
    </w:p>
    <w:p w14:paraId="4BBF5AFF" w14:textId="77777777" w:rsidR="00E3552A" w:rsidRPr="000F5BF3" w:rsidRDefault="00E3552A" w:rsidP="00E355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F5BF3">
        <w:rPr>
          <w:rFonts w:ascii="Tahoma" w:hAnsi="Tahoma" w:cs="Tahoma"/>
          <w:b/>
          <w:sz w:val="22"/>
          <w:szCs w:val="22"/>
        </w:rPr>
        <w:t>dr. Horváth Klára s.k.</w:t>
      </w:r>
    </w:p>
    <w:p w14:paraId="0712B448" w14:textId="77777777" w:rsidR="00E3552A" w:rsidRPr="000F5BF3" w:rsidRDefault="00E3552A" w:rsidP="00E3552A">
      <w:pPr>
        <w:rPr>
          <w:rFonts w:ascii="Tahoma" w:hAnsi="Tahoma" w:cs="Tahoma"/>
          <w:sz w:val="22"/>
          <w:szCs w:val="22"/>
        </w:rPr>
      </w:pPr>
      <w:r w:rsidRPr="000F5BF3">
        <w:rPr>
          <w:rFonts w:ascii="Tahoma" w:hAnsi="Tahoma" w:cs="Tahoma"/>
          <w:sz w:val="22"/>
          <w:szCs w:val="22"/>
        </w:rPr>
        <w:tab/>
      </w:r>
      <w:r w:rsidRPr="000F5BF3">
        <w:rPr>
          <w:rFonts w:ascii="Tahoma" w:hAnsi="Tahoma" w:cs="Tahoma"/>
          <w:sz w:val="22"/>
          <w:szCs w:val="22"/>
        </w:rPr>
        <w:tab/>
      </w:r>
      <w:r w:rsidRPr="000F5BF3">
        <w:rPr>
          <w:rFonts w:ascii="Tahoma" w:hAnsi="Tahoma" w:cs="Tahoma"/>
          <w:sz w:val="22"/>
          <w:szCs w:val="22"/>
        </w:rPr>
        <w:tab/>
      </w:r>
      <w:r w:rsidRPr="000F5BF3">
        <w:rPr>
          <w:rFonts w:ascii="Tahoma" w:hAnsi="Tahoma" w:cs="Tahoma"/>
          <w:sz w:val="22"/>
          <w:szCs w:val="22"/>
        </w:rPr>
        <w:tab/>
      </w:r>
      <w:r w:rsidRPr="000F5BF3">
        <w:rPr>
          <w:rFonts w:ascii="Tahoma" w:hAnsi="Tahoma" w:cs="Tahoma"/>
          <w:sz w:val="22"/>
          <w:szCs w:val="22"/>
        </w:rPr>
        <w:tab/>
      </w:r>
      <w:r w:rsidRPr="000F5BF3">
        <w:rPr>
          <w:rFonts w:ascii="Tahoma" w:hAnsi="Tahoma" w:cs="Tahoma"/>
          <w:sz w:val="22"/>
          <w:szCs w:val="22"/>
        </w:rPr>
        <w:tab/>
      </w:r>
      <w:r w:rsidRPr="000F5BF3">
        <w:rPr>
          <w:rFonts w:ascii="Tahoma" w:hAnsi="Tahoma" w:cs="Tahoma"/>
          <w:sz w:val="22"/>
          <w:szCs w:val="22"/>
        </w:rPr>
        <w:tab/>
      </w:r>
      <w:r w:rsidRPr="000F5BF3">
        <w:rPr>
          <w:rFonts w:ascii="Tahoma" w:hAnsi="Tahoma" w:cs="Tahoma"/>
          <w:sz w:val="22"/>
          <w:szCs w:val="22"/>
        </w:rPr>
        <w:tab/>
        <w:t xml:space="preserve">        polgármester</w:t>
      </w:r>
    </w:p>
    <w:p w14:paraId="739ADC76" w14:textId="77777777" w:rsidR="00C7267B" w:rsidRDefault="00C7267B"/>
    <w:sectPr w:rsidR="00C7267B" w:rsidSect="00961C3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4594"/>
    <w:multiLevelType w:val="hybridMultilevel"/>
    <w:tmpl w:val="E410CFEE"/>
    <w:lvl w:ilvl="0" w:tplc="DD26B8A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1826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08"/>
    <w:rsid w:val="00111301"/>
    <w:rsid w:val="0081499C"/>
    <w:rsid w:val="00A75D64"/>
    <w:rsid w:val="00B572F0"/>
    <w:rsid w:val="00C7267B"/>
    <w:rsid w:val="00D77754"/>
    <w:rsid w:val="00E3552A"/>
    <w:rsid w:val="00FA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C4B0"/>
  <w15:chartTrackingRefBased/>
  <w15:docId w15:val="{17BDA1FA-B809-46BC-A65B-066B4A3D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">
    <w:name w:val="Char Char Char"/>
    <w:basedOn w:val="Norml"/>
    <w:rsid w:val="00E355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aliases w:val="Listaszerű bekezdés 1,List Paragraph à moi,Listaszerű bekezdés1"/>
    <w:basedOn w:val="Norml"/>
    <w:link w:val="ListaszerbekezdsChar"/>
    <w:uiPriority w:val="1"/>
    <w:qFormat/>
    <w:rsid w:val="00E3552A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Listaszerű bekezdés 1 Char,List Paragraph à moi Char,Listaszerű bekezdés1 Char"/>
    <w:link w:val="Listaszerbekezds"/>
    <w:uiPriority w:val="1"/>
    <w:rsid w:val="00E3552A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E3552A"/>
    <w:pPr>
      <w:spacing w:before="100" w:beforeAutospacing="1" w:after="100" w:afterAutospacing="1"/>
    </w:pPr>
    <w:rPr>
      <w:rFonts w:eastAsia="Calibri"/>
    </w:rPr>
  </w:style>
  <w:style w:type="character" w:styleId="Kiemels2">
    <w:name w:val="Strong"/>
    <w:uiPriority w:val="22"/>
    <w:qFormat/>
    <w:rsid w:val="00E3552A"/>
    <w:rPr>
      <w:b/>
      <w:bCs w:val="0"/>
    </w:rPr>
  </w:style>
  <w:style w:type="character" w:styleId="Hiperhivatkozs">
    <w:name w:val="Hyperlink"/>
    <w:basedOn w:val="Bekezdsalapbettpusa"/>
    <w:uiPriority w:val="99"/>
    <w:unhideWhenUsed/>
    <w:rsid w:val="00D77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.njt.hu/eli/v01/729677/r/2013/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Bacsárdi József</dc:creator>
  <cp:keywords/>
  <dc:description/>
  <cp:lastModifiedBy>PHBABOLNA</cp:lastModifiedBy>
  <cp:revision>2</cp:revision>
  <dcterms:created xsi:type="dcterms:W3CDTF">2023-02-23T06:19:00Z</dcterms:created>
  <dcterms:modified xsi:type="dcterms:W3CDTF">2023-02-23T06:19:00Z</dcterms:modified>
</cp:coreProperties>
</file>